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uppressAutoHyphens w:val="true"/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проведении городского конкурса для обучающихся с ограниченными возможностями здоровья и школ пенитенциарного типа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 дню Победы!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Общие положения</w:t>
      </w:r>
    </w:p>
    <w:p>
      <w:pPr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Настоящее Положение о проведении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городского конкурса для обучающихся с ограниченными возможностями здоровья и школ пенитенциарного типа (далее - Положение) устанавливает цели и задачи городского конкурса (далее Конкурс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и этапы проведения.</w:t>
      </w:r>
    </w:p>
    <w:p>
      <w:pPr>
        <w:tabs>
          <w:tab w:val="left" w:pos="710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Учредителем Конкурса является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 Организаторами Конкурса являются педагоги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</w:t>
      </w:r>
    </w:p>
    <w:p>
      <w:pPr>
        <w:tabs>
          <w:tab w:val="left" w:pos="710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Вся информация о конкурсе размещается в сети Интернет на сайте МАУ ИМЦ и на сайте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Томск.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Цели и задачи городского конкурса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азвитие творческого потенциала обучающихся с ограниченными возможностями здоровья и школ пенитенциарного типа, реализация их склонностей и способностей в предметной области.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numPr>
          <w:ilvl w:val="0"/>
          <w:numId w:val="8"/>
        </w:num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стимулирование продуктивной образовательной деятельности, ориентированной на личностную и творческую самореализацию;</w:t>
      </w:r>
    </w:p>
    <w:p>
      <w:pPr>
        <w:numPr>
          <w:ilvl w:val="0"/>
          <w:numId w:val="8"/>
        </w:num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упорядоченного, структурированного мышления;</w:t>
      </w:r>
    </w:p>
    <w:p>
      <w:pPr>
        <w:numPr>
          <w:ilvl w:val="0"/>
          <w:numId w:val="8"/>
        </w:num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обучающимся для подготовки и успешной сдачи государственных экзаменов.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Участники городского конкурса</w:t>
      </w:r>
    </w:p>
    <w:p>
      <w:pPr>
        <w:tabs>
          <w:tab w:val="left" w:pos="710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В качестве участников могут выступить обучающиеся 7-11 классов общеобразовательных учреждений г. Томска. В качестве руководителя может выступить воспитатель, учитель 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 Каждый участник предоставляет индивидуальные ответы.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Участие в конкурсе является бесплатным.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10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По результатам Конкурса присваивается: первое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победитель Конкурса, второе и третье место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призёры Конкурса. Все участники Конкурса получают электронный диплом участника Конкурса.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Присланные материалы не возвращаются.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Этапы городского конкурса 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этап: </w:t>
      </w:r>
    </w:p>
    <w:p>
      <w:pPr>
        <w:tabs>
          <w:tab w:val="left" w:pos="710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Подача и регистрация заявок на участие в Конкурсе, загрузка конкурсных материалов (заявка и материалы подаются через гугл форму: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https://docs.google.com/forms/d/e/1FAIpQLSfFAbnBQDZzp4lMLOCStLKyhy9cw-hPIyXArPx8czxNpdJYPg/viewform</w:t>
        </w:r>
      </w:hyperlink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конкурса:</w:t>
      </w:r>
    </w:p>
    <w:p>
      <w:pPr>
        <w:tabs>
          <w:tab w:val="left" w:pos="710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Участниками могут быть предоставлены эссе, рассказы, сказки, стихи и прочее в формате Word, по одному из направлений: литературное, гуманитарное, техническое (без ограничений по тематике), которые раскрывают его отношение к данному празднику.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этап: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tabs>
          <w:tab w:val="left" w:pos="710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Обработка всех поступивших материалов, подведение итогов Конкурса. Все победители и призеры Конкурса награждаются дипломами. Все участники, кто не занял призовых мест, получат сертификат участников Конкурса. 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Состав экспертной комиссии и оценка конкурсных материалов</w:t>
      </w:r>
    </w:p>
    <w:p>
      <w:pPr>
        <w:tabs>
          <w:tab w:val="left" w:pos="710" w:leader="none"/>
        </w:tabs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В состав экспертной комиссии Конкурс входят: </w:t>
      </w:r>
    </w:p>
    <w:p>
      <w:pPr>
        <w:numPr>
          <w:ilvl w:val="0"/>
          <w:numId w:val="23"/>
        </w:numPr>
        <w:tabs>
          <w:tab w:val="left" w:pos="8378" w:leader="none"/>
        </w:tabs>
        <w:suppressAutoHyphens w:val="true"/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Никонов Игорь Андреевич, директор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</w:t>
      </w:r>
    </w:p>
    <w:p>
      <w:pPr>
        <w:numPr>
          <w:ilvl w:val="0"/>
          <w:numId w:val="23"/>
        </w:numPr>
        <w:tabs>
          <w:tab w:val="left" w:pos="8378" w:leader="none"/>
        </w:tabs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Тарасов Олег Александрович, методист, координатор конкурсной работы в школе,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</w:t>
      </w:r>
    </w:p>
    <w:p>
      <w:pPr>
        <w:numPr>
          <w:ilvl w:val="0"/>
          <w:numId w:val="23"/>
        </w:numPr>
        <w:tabs>
          <w:tab w:val="left" w:pos="8378" w:leader="none"/>
        </w:tabs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Курушин Павел Дмитриевич, заместитель директора по НМР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</w:t>
      </w:r>
    </w:p>
    <w:p>
      <w:pPr>
        <w:numPr>
          <w:ilvl w:val="0"/>
          <w:numId w:val="23"/>
        </w:numPr>
        <w:tabs>
          <w:tab w:val="left" w:pos="8378" w:leader="none"/>
        </w:tabs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Фатеев Владимир Николаевич, учитель математики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</w:t>
      </w:r>
    </w:p>
    <w:p>
      <w:pPr>
        <w:numPr>
          <w:ilvl w:val="0"/>
          <w:numId w:val="23"/>
        </w:numPr>
        <w:tabs>
          <w:tab w:val="left" w:pos="8378" w:leader="none"/>
        </w:tabs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Дубоделов Сергей Иванович, учитель физики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Томска.</w:t>
      </w:r>
    </w:p>
    <w:p>
      <w:pPr>
        <w:tabs>
          <w:tab w:val="left" w:pos="710" w:leader="none"/>
        </w:tabs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Полномочия экспертной комиссии: </w:t>
      </w:r>
    </w:p>
    <w:p>
      <w:pPr>
        <w:numPr>
          <w:ilvl w:val="0"/>
          <w:numId w:val="26"/>
        </w:numPr>
        <w:tabs>
          <w:tab w:val="left" w:pos="8378" w:leader="none"/>
        </w:tabs>
        <w:suppressAutoHyphens w:val="true"/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организационное и методическое сопровождение Конкурса;</w:t>
      </w:r>
    </w:p>
    <w:p>
      <w:pPr>
        <w:numPr>
          <w:ilvl w:val="0"/>
          <w:numId w:val="26"/>
        </w:numPr>
        <w:tabs>
          <w:tab w:val="left" w:pos="8378" w:leader="none"/>
        </w:tabs>
        <w:suppressAutoHyphens w:val="true"/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номинаций Конкурса;</w:t>
      </w:r>
    </w:p>
    <w:p>
      <w:pPr>
        <w:numPr>
          <w:ilvl w:val="0"/>
          <w:numId w:val="26"/>
        </w:numPr>
        <w:tabs>
          <w:tab w:val="left" w:pos="8378" w:leader="none"/>
        </w:tabs>
        <w:suppressAutoHyphens w:val="true"/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всех поступивших авторских материалов;</w:t>
      </w:r>
    </w:p>
    <w:p>
      <w:pPr>
        <w:numPr>
          <w:ilvl w:val="0"/>
          <w:numId w:val="26"/>
        </w:numPr>
        <w:tabs>
          <w:tab w:val="left" w:pos="8378" w:leader="none"/>
        </w:tabs>
        <w:suppressAutoHyphens w:val="true"/>
        <w:spacing w:before="0" w:after="0" w:line="240"/>
        <w:ind w:right="6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экспертиза представленных работ на их соответствие требованиям Конкурса.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материалов участников Конкурса производится после окончания приёма ответов по следующим правилам: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165"/>
        <w:gridCol w:w="1175"/>
        <w:gridCol w:w="1289"/>
        <w:gridCol w:w="1279"/>
        <w:gridCol w:w="2450"/>
      </w:tblGrid>
      <w:tr>
        <w:trPr>
          <w:trHeight w:val="1" w:hRule="atLeast"/>
          <w:jc w:val=""/>
        </w:trPr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Критерий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 уровень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 уровень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 уровень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Максимальный балл</w:t>
            </w:r>
          </w:p>
        </w:tc>
      </w:tr>
      <w:tr>
        <w:trPr>
          <w:trHeight w:val="1" w:hRule="atLeast"/>
          <w:jc w:val=""/>
        </w:trPr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Соответствие заявленной теме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1 - 10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11 - 20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21 - 30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"/>
        </w:trPr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 сложности произведения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1 - 5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6 - 10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10 - 15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"/>
        </w:trPr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Креативность и оригинальность 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1 - 10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11 - 20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21 - 30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" w:hRule="atLeast"/>
          <w:jc w:val=""/>
        </w:trPr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Соответствие творческого уровня возрасту обучающегося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1 - 5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6 - 10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10 - 15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"/>
        </w:trPr>
        <w:tc>
          <w:tcPr>
            <w:tcW w:w="2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Информативность и использование терминологии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1 - 3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3 - 6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6 - 10</w:t>
            </w:r>
          </w:p>
        </w:tc>
        <w:tc>
          <w:tcPr>
            <w:tcW w:w="2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</w:tbl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количество баллов: 100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проведения Конкурса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проведения: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этап: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и регистрация заявок: до 13.05.2022.</w:t>
      </w:r>
    </w:p>
    <w:p>
      <w:pPr>
        <w:tabs>
          <w:tab w:val="left" w:pos="8378" w:leader="none"/>
        </w:tabs>
        <w:suppressAutoHyphens w:val="true"/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этап: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всех поступивших ответов, подведение итогов Конкурса, награждение победителей и участников электронными дипломами: до 27.05.2022.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Контакты:</w:t>
      </w:r>
    </w:p>
    <w:p>
      <w:pPr>
        <w:tabs>
          <w:tab w:val="left" w:pos="710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Координатор: Курушин Павел Дмитриевич, заместитель директора по НМР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Томска, e-mail: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unamepavel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"mailto:unamepavel@mail.ru"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"mailto:unamepavel@mail.ru"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"mailto:unamepavel@mail.ru"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"mailto:unamepavel@mail.ru"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8 952 180 70 25.</w:t>
      </w:r>
    </w:p>
    <w:p>
      <w:pPr>
        <w:tabs>
          <w:tab w:val="left" w:pos="8378" w:leader="none"/>
        </w:tabs>
        <w:spacing w:before="0" w:after="0" w:line="240"/>
        <w:ind w:right="7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36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23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docs.google.com/forms/d/e/1FAIpQLSfFAbnBQDZzp4lMLOCStLKyhy9cw-hPIyXArPx8czxNpdJYPg/viewform" Id="docRId0" Type="http://schemas.openxmlformats.org/officeDocument/2006/relationships/hyperlink" /><Relationship TargetMode="External" Target="mailto:unamepavel@mail.r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