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055479">
      <w:r>
        <w:rPr>
          <w:noProof/>
          <w:lang w:eastAsia="ru-RU"/>
        </w:rPr>
        <w:pict>
          <v:roundrect id="_x0000_s1026" style="position:absolute;margin-left:-41.55pt;margin-top:-24.45pt;width:513pt;height:698.25pt;z-index:251658240" arcsize="10118f" strokecolor="teal" strokeweight="4.5pt">
            <v:textbox style="mso-next-textbox:#_x0000_s1026">
              <w:txbxContent>
                <w:p w:rsidR="004C434A" w:rsidRPr="004C434A" w:rsidRDefault="004C434A" w:rsidP="004C434A">
                  <w:pPr>
                    <w:pStyle w:val="1"/>
                  </w:pPr>
                  <w:r w:rsidRPr="004C434A">
                    <w:t>МАУ ИМЦ</w:t>
                  </w:r>
                </w:p>
                <w:p w:rsidR="004C434A" w:rsidRPr="004C434A" w:rsidRDefault="004C434A" w:rsidP="004C434A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 МЕТОДИЧЕСКОЕ  ПОСОБИЕ</w:t>
                  </w:r>
                </w:p>
                <w:p w:rsidR="004C434A" w:rsidRPr="004C434A" w:rsidRDefault="004C434A" w:rsidP="004C434A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 ВОСПИТАТЕЛЕЙ,  СТАРШИХ ВОСПИТАТЕЛЕЙ,                       РУКОВОДИТЕЛЕЙ ФИЗИЧЕСКОГО ВОСПИТАНИЯ,                                         ПЕДАГОГОВ-ПСИХОЛОГОВ, УЧИТЕЛЕЙ-ЛОГОПЕДОВ ДОШКОЛЬНЫХ ОБРАЗОВАТЕЛЬНЫХ УЧРЕЖДЕНИЙ И УЧРЕЖДЕНИЙ ДОПОЛНИТЕЛЬНОГО ОБРАЗОВАНИЯ, А ТАКЖЕ МЕТОДИСТОВ МУНИЦИПАЛЬНЫХ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C434A" w:rsidRPr="004C434A" w:rsidRDefault="004C434A" w:rsidP="004C434A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Картотека форм и видов деятельности в реализа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ции образовательной области «Познавательное развитие</w:t>
                  </w: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[Электронный ресурс]: методическое пособие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трех частях / под </w:t>
                  </w:r>
                  <w:proofErr w:type="spellStart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О.В.Ягодкиной, О.А. Осиповой, методистов МАУ ИМЦ г. Томска</w:t>
                  </w: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Электрон.текстовы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2014. - 1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tbl>
                  <w:tblPr>
                    <w:tblW w:w="9322" w:type="dxa"/>
                    <w:tblLayout w:type="fixed"/>
                    <w:tblLook w:val="0000"/>
                  </w:tblPr>
                  <w:tblGrid>
                    <w:gridCol w:w="5353"/>
                    <w:gridCol w:w="1229"/>
                    <w:gridCol w:w="2643"/>
                    <w:gridCol w:w="97"/>
                  </w:tblGrid>
                  <w:tr w:rsidR="004C434A" w:rsidRPr="004C434A" w:rsidTr="00E13CE8">
                    <w:trPr>
                      <w:cantSplit/>
                      <w:trHeight w:val="550"/>
                    </w:trPr>
                    <w:tc>
                      <w:tcPr>
                        <w:tcW w:w="5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Pr="004C434A" w:rsidRDefault="004C434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434A" w:rsidRPr="004C434A" w:rsidRDefault="00E13CE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3C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924300" cy="3057525"/>
                              <wp:effectExtent l="19050" t="0" r="0" b="0"/>
                              <wp:docPr id="2" name="Объект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343400" cy="4343400"/>
                                        <a:chOff x="800100" y="1160463"/>
                                        <a:chExt cx="4343400" cy="4343400"/>
                                      </a:xfrm>
                                    </a:grpSpPr>
                                    <a:grpSp>
                                      <a:nvGrpSpPr>
                                        <a:cNvPr id="1043" name="Group 19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800100" y="1160463"/>
                                          <a:ext cx="4343400" cy="4343400"/>
                                          <a:chOff x="1260" y="1827"/>
                                          <a:chExt cx="6840" cy="6840"/>
                                        </a:xfrm>
                                      </a:grpSpPr>
                                      <a:sp>
                                        <a:nvSpPr>
                                          <a:cNvPr id="1044" name="Rectangle 20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60" y="1827"/>
                                            <a:ext cx="6840" cy="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4" name="Group 21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440" y="2007"/>
                                            <a:ext cx="6565" cy="1287"/>
                                            <a:chOff x="107924471" y="88245303"/>
                                            <a:chExt cx="5873727" cy="828675"/>
                                          </a:xfrm>
                                        </a:grpSpPr>
                                        <a:sp>
                                          <a:nvSpPr>
                                            <a:cNvPr id="1046" name="Rectangle 22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7924471" y="88245303"/>
                                              <a:ext cx="85725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CCE6E6"/>
                                                </a:gs>
                                              </a:gsLst>
                                              <a:lin ang="0" scaled="1"/>
                                            </a:gra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47" name="Rectangle 23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4668" y="88245304"/>
                                              <a:ext cx="5213530" cy="826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48" name="Rectangle 24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171516" y="8865889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49" name="Rectangle 25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312" y="8865889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50" name="Rectangle 26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171516" y="88865688"/>
                                              <a:ext cx="206796" cy="2067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51" name="Rectangle 27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312" y="88452098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52" name="Rectangle 28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7964721" y="88452098"/>
                                              <a:ext cx="206795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53" name="Rectangle 29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5108" y="88452098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54" name="Rectangle 30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4668" y="8824530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55" name="Rectangle 31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013" y="88864428"/>
                                              <a:ext cx="206795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1056" name="Text Box 32"/>
                                          <a:cNvSpPr txBox="1">
                                            <a:spLocks noChangeArrowheads="1"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2160" y="2187"/>
                                            <a:ext cx="5665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0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vert="horz" wrap="square" lIns="36195" tIns="36195" rIns="36195" bIns="36195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Муниципальное автономное учреждение 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информационно-методический центр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г. Томска</a:t>
                                              </a:r>
                                              <a:endParaRPr kumimoji="0" lang="ru-RU" sz="1800" b="0" i="0" u="none" strike="noStrike" cap="none" normalizeH="0" baseline="0" dirty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57" name="Text Box 33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60" y="7260"/>
                                            <a:ext cx="6840" cy="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900" b="0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Verdana" pitchFamily="34" charset="0"/>
                                                </a:rPr>
                                                <a:t>координаторы - методисты по  ДОШКОЛЬНОМУ ОБРАЗОВАНИЮ                                                                          Осипова О.А., Ягодкина О.В., 2014 год</a:t>
                                              </a:r>
                                              <a:endParaRPr kumimoji="0" lang="ru-RU" sz="1800" b="0" i="0" u="none" strike="noStrike" cap="none" normalizeH="0" baseline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58" name="Text Box 34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620" y="3705"/>
                                            <a:ext cx="6120" cy="1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000" b="1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chemeClr val="tx1"/>
                                                  </a:solidFill>
                                                  <a:effectLst/>
                                                  <a:latin typeface="Arial Black" pitchFamily="34" charset="0"/>
                                                </a:rPr>
                                                <a:t>КАРТОТЕКА ФОРМ И ВИДОВ ДЕЯТЕЛЬНОСТИ                  В РЕАЛИЗАЦИИ ОБРАЗОВАТЕЛЬНОЙ ОБЛАСТИ                                                «ПОЗНАВАТЕЛЬНОЕ РАЗВИТИЕ»</a:t>
                                              </a:r>
                                              <a:endParaRPr kumimoji="0" lang="ru-RU" sz="1800" b="0" i="0" u="none" strike="noStrike" cap="none" normalizeH="0" baseline="0" dirty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pic>
                                        <a:nvPicPr>
                                          <a:cNvPr id="1059" name="Picture 35" descr="LOGO_GNMC_green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2970" y="5112"/>
                                            <a:ext cx="2840" cy="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Pr="004C434A" w:rsidRDefault="004C434A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 диске представлен результат работы межрегиональной проблемно-творческой группы педагогов города Томска и регионов России «Формы и виды образовательной деятельности» единичного муниципального проекта «Методическое сопровождение педагогов ДОО в осуществлении образовательного процесса в условиях введения ФГОС </w:t>
                        </w:r>
                        <w:proofErr w:type="gram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».</w:t>
                        </w:r>
                      </w:p>
                      <w:p w:rsidR="004C434A" w:rsidRPr="004C434A" w:rsidRDefault="004C434A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Методическое пособие включает практические материалы (подвижные и коммуникативные игры, </w:t>
                        </w:r>
                        <w:proofErr w:type="spell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FD74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огоритмические</w:t>
                        </w:r>
                        <w:proofErr w:type="spellEnd"/>
                        <w:r w:rsidR="00FD74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упражнения, стихотворения, </w:t>
                        </w:r>
                        <w:proofErr w:type="spell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потешки</w:t>
                        </w:r>
                        <w:proofErr w:type="spellEnd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физкультминутки и др.), направленные на организацию образовательной деятельности в детском саду по освоению детьми образовательной обла</w:t>
                        </w:r>
                        <w:r w:rsidR="00FD74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сти «Познавательное </w:t>
                        </w: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развитие» в условиях реализации ФГОС </w:t>
                        </w:r>
                        <w:proofErr w:type="gram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C434A" w:rsidTr="00E13CE8">
                    <w:trPr>
                      <w:gridAfter w:val="1"/>
                      <w:wAfter w:w="97" w:type="dxa"/>
                      <w:cantSplit/>
                      <w:trHeight w:val="550"/>
                    </w:trPr>
                    <w:tc>
                      <w:tcPr>
                        <w:tcW w:w="65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Default="004C434A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2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Default="004C434A">
                        <w:pPr>
                          <w:jc w:val="both"/>
                        </w:pPr>
                      </w:p>
                    </w:tc>
                  </w:tr>
                </w:tbl>
                <w:p w:rsidR="004C434A" w:rsidRDefault="004C434A" w:rsidP="004C434A">
                  <w:pPr>
                    <w:jc w:val="both"/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4A"/>
    <w:rsid w:val="00055479"/>
    <w:rsid w:val="0006321B"/>
    <w:rsid w:val="000B14B1"/>
    <w:rsid w:val="0010076E"/>
    <w:rsid w:val="004C434A"/>
    <w:rsid w:val="005D0302"/>
    <w:rsid w:val="006303DE"/>
    <w:rsid w:val="008902AB"/>
    <w:rsid w:val="00E13CE8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4C43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5</cp:revision>
  <dcterms:created xsi:type="dcterms:W3CDTF">2014-10-13T04:04:00Z</dcterms:created>
  <dcterms:modified xsi:type="dcterms:W3CDTF">2015-11-19T10:29:00Z</dcterms:modified>
</cp:coreProperties>
</file>